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D" w:rsidRDefault="002279E5" w:rsidP="00091CAD">
      <w:pPr>
        <w:ind w:left="7920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</w:t>
      </w:r>
      <w:r w:rsidR="00091CAD">
        <w:rPr>
          <w:sz w:val="24"/>
          <w:szCs w:val="24"/>
          <w:lang w:val="ro-RO"/>
        </w:rPr>
        <w:t>Anexa nr. 1 la decizia</w:t>
      </w:r>
    </w:p>
    <w:p w:rsidR="00091CAD" w:rsidRDefault="00091CAD" w:rsidP="00091CAD">
      <w:pPr>
        <w:ind w:left="1080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Consiliului Municipal Chişinău</w:t>
      </w:r>
    </w:p>
    <w:p w:rsidR="00091CAD" w:rsidRDefault="002279E5" w:rsidP="00091CAD">
      <w:pPr>
        <w:ind w:left="10080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091CAD">
        <w:rPr>
          <w:sz w:val="24"/>
          <w:szCs w:val="24"/>
          <w:lang w:val="ro-RO"/>
        </w:rPr>
        <w:t>nr.____din ____________2021</w:t>
      </w:r>
    </w:p>
    <w:p w:rsidR="00091CAD" w:rsidRDefault="00091CAD" w:rsidP="00091CAD">
      <w:pPr>
        <w:ind w:left="3600" w:firstLine="720"/>
        <w:rPr>
          <w:sz w:val="28"/>
          <w:szCs w:val="28"/>
          <w:lang w:val="ro-RO"/>
        </w:rPr>
      </w:pPr>
    </w:p>
    <w:p w:rsidR="00091CAD" w:rsidRDefault="00091CAD" w:rsidP="00091CAD">
      <w:pPr>
        <w:ind w:left="3600" w:firstLine="720"/>
        <w:rPr>
          <w:sz w:val="28"/>
          <w:szCs w:val="28"/>
          <w:lang w:val="ro-RO"/>
        </w:rPr>
      </w:pPr>
    </w:p>
    <w:p w:rsidR="00091CAD" w:rsidRDefault="00091CAD" w:rsidP="00091CAD">
      <w:pPr>
        <w:ind w:left="3600" w:firstLine="720"/>
        <w:rPr>
          <w:sz w:val="28"/>
          <w:szCs w:val="28"/>
          <w:lang w:val="ro-RO"/>
        </w:rPr>
      </w:pPr>
    </w:p>
    <w:p w:rsidR="00091CAD" w:rsidRDefault="00091CAD" w:rsidP="00091CAD">
      <w:pPr>
        <w:ind w:left="360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Taxele locale, cotele concrete şi înlesnirile fiscale</w:t>
      </w:r>
    </w:p>
    <w:p w:rsidR="00091CAD" w:rsidRDefault="00091CAD" w:rsidP="00091CAD">
      <w:pPr>
        <w:rPr>
          <w:sz w:val="24"/>
          <w:szCs w:val="24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ce se pun în aplicare în anul 2022 pe teritoriul municipiului Chişinău </w:t>
      </w:r>
      <w:r>
        <w:rPr>
          <w:sz w:val="28"/>
          <w:szCs w:val="28"/>
          <w:lang w:val="ro-RO"/>
        </w:rPr>
        <w:tab/>
      </w:r>
      <w:r>
        <w:rPr>
          <w:sz w:val="24"/>
          <w:szCs w:val="24"/>
          <w:lang w:val="ro-RO"/>
        </w:rPr>
        <w:tab/>
      </w:r>
    </w:p>
    <w:p w:rsidR="00091CAD" w:rsidRDefault="00091CAD" w:rsidP="00091CA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:rsidR="00091CAD" w:rsidRDefault="00091CAD" w:rsidP="00091CA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tbl>
      <w:tblPr>
        <w:tblW w:w="15734" w:type="dxa"/>
        <w:tblInd w:w="-601" w:type="dxa"/>
        <w:tblLook w:val="01E0"/>
      </w:tblPr>
      <w:tblGrid>
        <w:gridCol w:w="637"/>
        <w:gridCol w:w="1631"/>
        <w:gridCol w:w="2552"/>
        <w:gridCol w:w="3827"/>
        <w:gridCol w:w="7087"/>
      </w:tblGrid>
      <w:tr w:rsidR="00091CAD" w:rsidTr="00AC41E0">
        <w:trPr>
          <w:trHeight w:val="69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Baza impozabilă a obiectului impunerii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Cota taxei </w:t>
            </w: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Înlesnirile fiscale</w:t>
            </w:r>
          </w:p>
        </w:tc>
      </w:tr>
      <w:tr w:rsidR="00091CAD" w:rsidTr="00AC41E0">
        <w:trPr>
          <w:trHeight w:val="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pentru amenajarea teritoriului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Numărul mediu scriptic trimestrial al salariaţilor şi, suplimentar: </w:t>
            </w:r>
          </w:p>
          <w:p w:rsidR="00091CAD" w:rsidRDefault="00091CAD" w:rsidP="00AC41E0">
            <w:pPr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– în cazul întreprinderilor individuale şi gospodăriilor ţărăneşti (de fermier) – fondatorul întreprinderii individuale, fondatorul şi membrii gospodăriilor ţărăneşti (de fermier);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 w:eastAsia="ro-RO"/>
              </w:rPr>
              <w:t>– în cazul persoanelor care desfăşoară activitate profesională în sectorul justiţiei – numărul de persoane abilitate prin lege pentru desfăşurarea activităţii profesionale în sectorul justiţiei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 w:eastAsia="ro-RO"/>
              </w:rPr>
              <w:t xml:space="preserve">165 lei </w:t>
            </w:r>
            <w:proofErr w:type="spellStart"/>
            <w:r>
              <w:rPr>
                <w:sz w:val="24"/>
                <w:szCs w:val="24"/>
              </w:rPr>
              <w:t>anual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fiecare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salariat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fondator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întreprinderii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gospodăriei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ţărăneşti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fermier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asemenea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acesteia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fiecare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persoană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desfăşoară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profesională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sectorul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justiţiei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2.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Fondatorii gospodăriilor  ţărăneşti (de fermier) care au atins vârsta de pensionare.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4. Banca Naţională a Moldovei.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5. Proprietarii sau deţinătorii bunurilor rechiziţionate în interes public, pe perioada rechiziţiei, conform legislaţiei.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Persoanele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fizice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desfăşoară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activităţi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independente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create conform art. 12 din </w:t>
            </w:r>
            <w:proofErr w:type="spellStart"/>
            <w:r>
              <w:rPr>
                <w:sz w:val="24"/>
                <w:szCs w:val="24"/>
                <w:lang w:val="en-US"/>
              </w:rPr>
              <w:t>Legea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nr. 231/2010 „Cu </w:t>
            </w:r>
            <w:proofErr w:type="spellStart"/>
            <w:r>
              <w:rPr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comerţul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interior”.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8. S.A. „Mina </w:t>
            </w:r>
            <w:proofErr w:type="spellStart"/>
            <w:r>
              <w:rPr>
                <w:sz w:val="24"/>
                <w:szCs w:val="24"/>
                <w:lang w:val="en-US"/>
              </w:rPr>
              <w:t>Chișinău</w:t>
            </w:r>
            <w:proofErr w:type="spellEnd"/>
            <w:r>
              <w:rPr>
                <w:sz w:val="24"/>
                <w:szCs w:val="24"/>
                <w:lang w:val="en-US"/>
              </w:rPr>
              <w:t>”.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91CAD" w:rsidTr="00AC41E0">
        <w:trPr>
          <w:trHeight w:val="70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Nr. d/o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Baza impozabilă a obiectului impunerii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Cota taxei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Înlesnirile fiscale</w:t>
            </w:r>
          </w:p>
        </w:tc>
      </w:tr>
      <w:tr w:rsidR="00091CAD" w:rsidTr="00AC41E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ro-RO"/>
              </w:rPr>
              <w:t xml:space="preserve">Taxă de organizare a licitaţiilor şi loteriilor pe teritoriul municipiului Chişinău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Venitul din vânzări ale  bunurilor declarate la licitaţie sau valoarea biletelor de loterie emise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0,26 %</w:t>
            </w:r>
          </w:p>
          <w:p w:rsidR="00091CAD" w:rsidRDefault="00091CAD" w:rsidP="00AC4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2.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Organizatorii licitaţiilor desfăşurate în scopul asigurării rambursării datoriilor la credite, acoperirii pagubelor, achitării datoriilor la buget, vânzării patrimoniului de stat şi patrimoniului municipal.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 Banca Naţională a Moldovei.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91CAD" w:rsidTr="00AC41E0">
        <w:trPr>
          <w:trHeight w:val="33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Taxă de plasare (amplasare) a publicităţii (reclamei)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Venitul din vânzări ale serviciilor de plasare şi/sau difuzare a anunţurilor publicitare prin intermediul serviciilor cinematografice, video,  prin reţelele telefonice, telegrafice, telex, prin mijloacele de transport, prin alte mijloace (cu excepţia TV, internetului, radioului, presei periodice, tipăriturilor) cu excepţia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amplasării publicității exterioare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5,2 %</w:t>
            </w: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Producătorii şi difuzorii de publicitate socială şi de publicitate plasată pe trimiterile poştale.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ro-RO"/>
              </w:rPr>
              <w:t>Banca Naţională a Moldovei.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91CAD" w:rsidTr="00AC41E0">
        <w:trPr>
          <w:trHeight w:val="55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Nr. d/o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Baza impozabilă a obiectului impunerii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Cota taxei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Înlesnirile fiscale</w:t>
            </w:r>
          </w:p>
        </w:tc>
      </w:tr>
      <w:tr w:rsidR="00091CAD" w:rsidTr="00AC41E0">
        <w:trPr>
          <w:trHeight w:val="26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de aplicare a simbolicii locale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Venitul din vânzări ale   produselor fabricate cărora li se aplică simbolica locală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0,26 %</w:t>
            </w:r>
          </w:p>
          <w:p w:rsidR="00091CAD" w:rsidRDefault="00091CAD" w:rsidP="00AC4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Banca Naţională a Moldovei.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</w:tc>
      </w:tr>
      <w:tr w:rsidR="00091CAD" w:rsidTr="00AC41E0">
        <w:trPr>
          <w:trHeight w:val="90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de piaţă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sz w:val="22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sz w:val="22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sz w:val="22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sz w:val="22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Suprafaţa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terenului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clădirilor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construcţiilor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a </w:t>
            </w:r>
            <w:proofErr w:type="spellStart"/>
            <w:r>
              <w:rPr>
                <w:sz w:val="24"/>
                <w:szCs w:val="24"/>
                <w:lang w:val="en-US"/>
              </w:rPr>
              <w:t>căror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strămutare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imposibilă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fără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cauzarea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prejudicii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destinaţiei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- 50 de lei anual pentru fiecare metru pătrat pentru pieţele alimentare, agricole, nealimentare şi mixte; </w:t>
            </w:r>
          </w:p>
          <w:p w:rsidR="00091CAD" w:rsidRDefault="00091CAD" w:rsidP="00AC41E0">
            <w:r>
              <w:rPr>
                <w:sz w:val="24"/>
                <w:szCs w:val="24"/>
                <w:lang w:val="en-US"/>
              </w:rPr>
              <w:t xml:space="preserve">- 15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>
              <w:rPr>
                <w:sz w:val="24"/>
                <w:szCs w:val="24"/>
                <w:lang w:val="en-US"/>
              </w:rPr>
              <w:t>amplasate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periferia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oraşului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scurt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1-3 </w:t>
            </w:r>
            <w:proofErr w:type="spellStart"/>
            <w:r>
              <w:rPr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;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- 38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>
              <w:rPr>
                <w:sz w:val="24"/>
                <w:szCs w:val="24"/>
                <w:lang w:val="en-US"/>
              </w:rPr>
              <w:t>amplasate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periferia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oraşului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6-7 </w:t>
            </w:r>
            <w:proofErr w:type="spellStart"/>
            <w:r>
              <w:rPr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2.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 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Banca Naţională a Moldovei.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</w:tc>
      </w:tr>
      <w:tr w:rsidR="00091CAD" w:rsidTr="00AC41E0">
        <w:trPr>
          <w:trHeight w:val="565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en-US"/>
              </w:rPr>
              <w:t xml:space="preserve">- 72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>
              <w:rPr>
                <w:sz w:val="24"/>
                <w:szCs w:val="24"/>
                <w:lang w:val="en-US"/>
              </w:rPr>
              <w:t>amplasate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teritoriul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oraşului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scurt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1-3 </w:t>
            </w:r>
            <w:proofErr w:type="spellStart"/>
            <w:r>
              <w:rPr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- 87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auto </w:t>
            </w:r>
            <w:proofErr w:type="spellStart"/>
            <w:r>
              <w:rPr>
                <w:sz w:val="24"/>
                <w:szCs w:val="24"/>
                <w:lang w:val="en-US"/>
              </w:rPr>
              <w:t>amplasate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teritoriul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oraşului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6-7 </w:t>
            </w:r>
            <w:proofErr w:type="spellStart"/>
            <w:r>
              <w:rPr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091CAD" w:rsidTr="00AC41E0">
        <w:trPr>
          <w:trHeight w:val="311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- 870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</w:t>
            </w:r>
          </w:p>
          <w:p w:rsidR="00091CAD" w:rsidRDefault="00091CAD" w:rsidP="00AC41E0">
            <w:pPr>
              <w:jc w:val="both"/>
            </w:pPr>
            <w:proofErr w:type="spellStart"/>
            <w:r>
              <w:rPr>
                <w:sz w:val="24"/>
                <w:szCs w:val="24"/>
                <w:lang w:val="en-US"/>
              </w:rPr>
              <w:t>flori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amplasate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perimetrul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parcurilor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cultură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odihnă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non-stop;  </w:t>
            </w:r>
          </w:p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en-US"/>
              </w:rPr>
              <w:t xml:space="preserve">- 73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flori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regim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activitate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non-stop;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- 19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pătrat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pieţele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tip „second hand”.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91CAD" w:rsidTr="00AC41E0">
        <w:trPr>
          <w:trHeight w:val="34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</w:p>
          <w:p w:rsidR="00091CAD" w:rsidRDefault="00091CAD" w:rsidP="00AC41E0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pentru cazare</w:t>
            </w: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Venitul din vânzări ale   serviciilor de cazare prestate de structurile cu funcţii de cazare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B91491" w:rsidP="00AC41E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               </w:t>
            </w:r>
            <w:r w:rsidR="00091CAD">
              <w:rPr>
                <w:sz w:val="24"/>
                <w:szCs w:val="24"/>
                <w:lang w:val="ro-RO"/>
              </w:rPr>
              <w:t>3 %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2. M</w:t>
            </w:r>
            <w:proofErr w:type="spellStart"/>
            <w:r>
              <w:rPr>
                <w:sz w:val="24"/>
                <w:szCs w:val="24"/>
                <w:lang w:val="en-US"/>
              </w:rPr>
              <w:t>isiunile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diplomatice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oficiile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consulare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reprezentanţele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organizaţiilor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acreditate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principiului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reciprocităţii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conformitate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tratatele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internaţionale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sz w:val="24"/>
                <w:szCs w:val="24"/>
                <w:lang w:val="en-US"/>
              </w:rPr>
              <w:t>Republica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parte. 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 Banca Naţională a Moldovei.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4. Proprietarii sau deţinătorii bunurilor rechiziţionate în interes public, pe perioada rechiziţiei, conform legislaţiei. </w:t>
            </w:r>
          </w:p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Subiecții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desfășoară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conform cap. 10³ din </w:t>
            </w:r>
            <w:proofErr w:type="spellStart"/>
            <w:r>
              <w:rPr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 al </w:t>
            </w:r>
            <w:proofErr w:type="spellStart"/>
            <w:r>
              <w:rPr>
                <w:sz w:val="24"/>
                <w:szCs w:val="24"/>
                <w:lang w:val="en-US"/>
              </w:rPr>
              <w:t>Codului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Fiscal.</w:t>
            </w:r>
          </w:p>
        </w:tc>
      </w:tr>
      <w:tr w:rsidR="00091CAD" w:rsidTr="00AC41E0">
        <w:trPr>
          <w:trHeight w:val="33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pentru parcare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Suprafaţa parcării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31 lei anual pentru fiecare metru pătrat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</w:rPr>
            </w:pPr>
          </w:p>
          <w:p w:rsidR="00091CAD" w:rsidRDefault="00091CAD" w:rsidP="00AC4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1. Persoanele cu afecţiuni ale aparatului locomotor care folosesc autoturisme cu dirijare manuală. 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2.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3. M</w:t>
            </w:r>
            <w:proofErr w:type="spellStart"/>
            <w:r>
              <w:rPr>
                <w:sz w:val="23"/>
                <w:szCs w:val="23"/>
                <w:lang w:val="en-US"/>
              </w:rPr>
              <w:t>isiunile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diplomatice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şi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oficiile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consulare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acreditate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Moldova, </w:t>
            </w:r>
            <w:proofErr w:type="spellStart"/>
            <w:r>
              <w:rPr>
                <w:sz w:val="23"/>
                <w:szCs w:val="23"/>
                <w:lang w:val="en-US"/>
              </w:rPr>
              <w:t>precum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şi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reprezentanţele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organizaţiilor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internaţionale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acreditate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Moldova,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baza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principiului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reciprocităţii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conformitate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cu </w:t>
            </w:r>
            <w:proofErr w:type="spellStart"/>
            <w:r>
              <w:rPr>
                <w:sz w:val="23"/>
                <w:szCs w:val="23"/>
                <w:lang w:val="en-US"/>
              </w:rPr>
              <w:t>tratatele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internaţionale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la care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 </w:t>
            </w:r>
            <w:proofErr w:type="spellStart"/>
            <w:r>
              <w:rPr>
                <w:sz w:val="23"/>
                <w:szCs w:val="23"/>
                <w:lang w:val="en-US"/>
              </w:rPr>
              <w:t>este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parte.  </w:t>
            </w:r>
            <w:r>
              <w:rPr>
                <w:sz w:val="23"/>
                <w:szCs w:val="23"/>
                <w:lang w:val="ro-RO"/>
              </w:rPr>
              <w:t xml:space="preserve"> 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4. Banca Naţională a Moldovei.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5.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6. </w:t>
            </w:r>
            <w:proofErr w:type="spellStart"/>
            <w:r>
              <w:rPr>
                <w:sz w:val="23"/>
                <w:szCs w:val="23"/>
                <w:lang w:val="en-US"/>
              </w:rPr>
              <w:t>Subiecții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care </w:t>
            </w:r>
            <w:proofErr w:type="spellStart"/>
            <w:r>
              <w:rPr>
                <w:sz w:val="23"/>
                <w:szCs w:val="23"/>
                <w:lang w:val="en-US"/>
              </w:rPr>
              <w:t>desfășoară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activități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conform cap. 10³ din </w:t>
            </w:r>
            <w:proofErr w:type="spellStart"/>
            <w:r>
              <w:rPr>
                <w:sz w:val="23"/>
                <w:szCs w:val="23"/>
                <w:lang w:val="en-US"/>
              </w:rPr>
              <w:t>Titlul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II al </w:t>
            </w:r>
            <w:proofErr w:type="spellStart"/>
            <w:r>
              <w:rPr>
                <w:sz w:val="23"/>
                <w:szCs w:val="23"/>
                <w:lang w:val="en-US"/>
              </w:rPr>
              <w:t>Codului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Fiscal.</w:t>
            </w:r>
          </w:p>
        </w:tc>
      </w:tr>
      <w:tr w:rsidR="00091CAD" w:rsidTr="00AC41E0">
        <w:trPr>
          <w:trHeight w:val="4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Nr. d/o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Baza impozabilă a obiectului impunerii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Cota taxei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Înlesnirile fiscale</w:t>
            </w:r>
          </w:p>
        </w:tc>
      </w:tr>
      <w:tr w:rsidR="00091CAD" w:rsidTr="00AC41E0">
        <w:trPr>
          <w:trHeight w:val="41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Taxă de la posesorii de câini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câini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aflaţi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posesiune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parcursul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120 lei </w:t>
            </w:r>
            <w:proofErr w:type="spellStart"/>
            <w:r>
              <w:rPr>
                <w:sz w:val="24"/>
                <w:szCs w:val="24"/>
                <w:lang w:val="en-US"/>
              </w:rPr>
              <w:t>anual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câine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1. Persoanele </w:t>
            </w:r>
            <w:proofErr w:type="spellStart"/>
            <w:r>
              <w:rPr>
                <w:sz w:val="24"/>
                <w:szCs w:val="24"/>
                <w:lang w:val="ro-RO"/>
              </w:rPr>
              <w:t>nevăzatoare</w:t>
            </w:r>
            <w:proofErr w:type="spellEnd"/>
            <w:r>
              <w:rPr>
                <w:sz w:val="24"/>
                <w:szCs w:val="24"/>
                <w:lang w:val="ro-RO"/>
              </w:rPr>
              <w:t>.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en-US"/>
              </w:rPr>
              <w:t>Persoanele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posesori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câini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care au </w:t>
            </w:r>
            <w:proofErr w:type="spellStart"/>
            <w:r>
              <w:rPr>
                <w:sz w:val="24"/>
                <w:szCs w:val="24"/>
                <w:lang w:val="en-US"/>
              </w:rPr>
              <w:t>înregistrat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câinele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Registrul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Electronic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sz w:val="24"/>
                <w:szCs w:val="24"/>
                <w:lang w:val="en-US"/>
              </w:rPr>
              <w:t>Animalelor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Companie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continuare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REAC)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2021. 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en-US"/>
              </w:rPr>
              <w:t>Persoanele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posesori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câini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en-US"/>
              </w:rPr>
              <w:t>care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sz w:val="24"/>
                <w:szCs w:val="24"/>
                <w:lang w:val="en-US"/>
              </w:rPr>
              <w:t>înregistrat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câinele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REAC </w:t>
            </w:r>
            <w:proofErr w:type="spellStart"/>
            <w:r>
              <w:rPr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parcursul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fiscal, de la data </w:t>
            </w:r>
            <w:proofErr w:type="spellStart"/>
            <w:r>
              <w:rPr>
                <w:sz w:val="24"/>
                <w:szCs w:val="24"/>
                <w:lang w:val="en-US"/>
              </w:rPr>
              <w:t>înregistrării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val="en-US"/>
              </w:rPr>
              <w:t>Persoanele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posesori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câini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care au </w:t>
            </w:r>
            <w:proofErr w:type="spellStart"/>
            <w:r>
              <w:rPr>
                <w:sz w:val="24"/>
                <w:szCs w:val="24"/>
                <w:lang w:val="en-US"/>
              </w:rPr>
              <w:t>înregistrat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câinele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REAC, </w:t>
            </w:r>
            <w:proofErr w:type="spellStart"/>
            <w:r>
              <w:rPr>
                <w:sz w:val="24"/>
                <w:szCs w:val="24"/>
                <w:lang w:val="en-US"/>
              </w:rPr>
              <w:t>adoptat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dinr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>
              <w:rPr>
                <w:sz w:val="24"/>
                <w:szCs w:val="24"/>
                <w:lang w:val="en-US"/>
              </w:rPr>
              <w:t>azil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municipiul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Chișinău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CEST – </w:t>
            </w:r>
            <w:proofErr w:type="spellStart"/>
            <w:r>
              <w:rPr>
                <w:sz w:val="24"/>
                <w:szCs w:val="24"/>
                <w:lang w:val="en-US"/>
              </w:rPr>
              <w:t>Centrul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capturare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sterilizare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câinilor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fără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stăpân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Chiș</w:t>
            </w:r>
            <w:proofErr w:type="gramStart"/>
            <w:r>
              <w:rPr>
                <w:sz w:val="24"/>
                <w:szCs w:val="24"/>
                <w:lang w:val="en-US"/>
              </w:rPr>
              <w:t>inău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sau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alt </w:t>
            </w:r>
            <w:proofErr w:type="spellStart"/>
            <w:r>
              <w:rPr>
                <w:sz w:val="24"/>
                <w:szCs w:val="24"/>
                <w:lang w:val="en-US"/>
              </w:rPr>
              <w:t>azil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are </w:t>
            </w:r>
            <w:proofErr w:type="spellStart"/>
            <w:r>
              <w:rPr>
                <w:sz w:val="24"/>
                <w:szCs w:val="24"/>
                <w:lang w:val="en-US"/>
              </w:rPr>
              <w:t>acord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colaborare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Secția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control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protecția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animalelor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DGLCA (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continuare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SCPA), </w:t>
            </w:r>
            <w:proofErr w:type="spellStart"/>
            <w:r>
              <w:rPr>
                <w:sz w:val="24"/>
                <w:szCs w:val="24"/>
                <w:lang w:val="en-US"/>
              </w:rPr>
              <w:t>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adoptat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sz w:val="24"/>
                <w:szCs w:val="24"/>
                <w:lang w:val="en-US"/>
              </w:rPr>
              <w:t>curatorii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au contract cu SCPA, de la data </w:t>
            </w:r>
            <w:proofErr w:type="spellStart"/>
            <w:r>
              <w:rPr>
                <w:sz w:val="24"/>
                <w:szCs w:val="24"/>
                <w:lang w:val="en-US"/>
              </w:rPr>
              <w:t>înregistrării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Pensionarii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care </w:t>
            </w:r>
            <w:proofErr w:type="spellStart"/>
            <w:r>
              <w:rPr>
                <w:sz w:val="24"/>
                <w:szCs w:val="24"/>
                <w:lang w:val="en-US"/>
              </w:rPr>
              <w:t>întrețin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3 </w:t>
            </w:r>
            <w:proofErr w:type="spellStart"/>
            <w:r>
              <w:rPr>
                <w:sz w:val="24"/>
                <w:szCs w:val="24"/>
                <w:lang w:val="en-US"/>
              </w:rPr>
              <w:t>câini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sterilizați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semnare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acordului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responsabilitate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SCPA. 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val="en-US"/>
              </w:rPr>
              <w:t>Curatorii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voluntarii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sz w:val="24"/>
                <w:szCs w:val="24"/>
                <w:lang w:val="en-US"/>
              </w:rPr>
              <w:t>semnat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val="en-US"/>
              </w:rPr>
              <w:t>acord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deținerea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responsabilă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SCPA.</w:t>
            </w:r>
          </w:p>
          <w:p w:rsidR="00091CAD" w:rsidRDefault="00091CAD" w:rsidP="00AC41E0">
            <w:pPr>
              <w:pStyle w:val="Index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sz w:val="24"/>
                <w:szCs w:val="24"/>
                <w:lang w:val="en-US"/>
              </w:rPr>
              <w:t>Deținătorii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căror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animale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companie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sz w:val="24"/>
                <w:szCs w:val="24"/>
                <w:lang w:val="en-US"/>
              </w:rPr>
              <w:t>succes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competițiile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sportive (</w:t>
            </w:r>
            <w:proofErr w:type="spellStart"/>
            <w:r>
              <w:rPr>
                <w:sz w:val="24"/>
                <w:szCs w:val="24"/>
                <w:lang w:val="en-US"/>
              </w:rPr>
              <w:t>primele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sz w:val="24"/>
                <w:szCs w:val="24"/>
                <w:lang w:val="en-US"/>
              </w:rPr>
              <w:t>locuri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sau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carieră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succes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expoziții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titluri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–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cazul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sz w:val="24"/>
                <w:szCs w:val="24"/>
                <w:lang w:val="en-US"/>
              </w:rPr>
              <w:t>clubul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emitent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titluri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are contract de </w:t>
            </w:r>
            <w:proofErr w:type="spellStart"/>
            <w:r>
              <w:rPr>
                <w:sz w:val="24"/>
                <w:szCs w:val="24"/>
                <w:lang w:val="en-US"/>
              </w:rPr>
              <w:t>responsabilitate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SCPA din </w:t>
            </w:r>
            <w:proofErr w:type="spellStart"/>
            <w:r>
              <w:rPr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DGLCA.</w:t>
            </w:r>
          </w:p>
        </w:tc>
      </w:tr>
      <w:tr w:rsidR="00091CAD" w:rsidTr="00AC41E0">
        <w:trPr>
          <w:trHeight w:val="33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9.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Taxă pentru dispozitivele publicitare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Suprafaţa feţei (feţelor) dispozitivului publicitar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775 de lei anual pentru fiecare metru pătrat pentru dispozitivele publicitare 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</w:rPr>
            </w:pP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3"/>
                <w:szCs w:val="23"/>
                <w:lang w:val="ro-RO"/>
              </w:rPr>
              <w:t>1. Autorităţile publice şi instituţiile finanţate de la bugetele de toate nivelurile.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ro-RO"/>
              </w:rPr>
              <w:t xml:space="preserve"> 2. M</w:t>
            </w:r>
            <w:proofErr w:type="spellStart"/>
            <w:r>
              <w:rPr>
                <w:sz w:val="23"/>
                <w:szCs w:val="23"/>
                <w:lang w:val="en-US"/>
              </w:rPr>
              <w:t>isiunile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diplomatice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şi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oficiile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consulare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acreditate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Moldova, </w:t>
            </w:r>
            <w:proofErr w:type="spellStart"/>
            <w:r>
              <w:rPr>
                <w:sz w:val="23"/>
                <w:szCs w:val="23"/>
                <w:lang w:val="en-US"/>
              </w:rPr>
              <w:t>precum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şi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reprezentanţele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organizaţiilor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internaţionale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acreditate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Moldova,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baza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principiului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reciprocităţii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conformitate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cu </w:t>
            </w:r>
            <w:proofErr w:type="spellStart"/>
            <w:r>
              <w:rPr>
                <w:sz w:val="23"/>
                <w:szCs w:val="23"/>
                <w:lang w:val="en-US"/>
              </w:rPr>
              <w:t>tratatele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internaţionale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la care </w:t>
            </w:r>
            <w:proofErr w:type="spellStart"/>
            <w:r>
              <w:rPr>
                <w:sz w:val="23"/>
                <w:szCs w:val="23"/>
                <w:lang w:val="en-US"/>
              </w:rPr>
              <w:t>Republica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Moldova </w:t>
            </w:r>
            <w:proofErr w:type="spellStart"/>
            <w:r>
              <w:rPr>
                <w:sz w:val="23"/>
                <w:szCs w:val="23"/>
                <w:lang w:val="en-US"/>
              </w:rPr>
              <w:t>este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parte.  </w:t>
            </w:r>
          </w:p>
          <w:p w:rsidR="00091CAD" w:rsidRDefault="00091CAD" w:rsidP="00AC41E0">
            <w:pPr>
              <w:ind w:left="-123" w:firstLine="141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 3. Banca Naţională a Moldovei.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 4.  Proprietarii sau deţinătorii bunurilor rechiziţionate în interes public, pe perioada rechiziţiei, conform legislaţiei.</w:t>
            </w:r>
          </w:p>
          <w:p w:rsidR="00091CAD" w:rsidRDefault="00091CAD" w:rsidP="00AC41E0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ro-RO"/>
              </w:rPr>
              <w:t xml:space="preserve">5. </w:t>
            </w:r>
            <w:proofErr w:type="spellStart"/>
            <w:r>
              <w:rPr>
                <w:sz w:val="23"/>
                <w:szCs w:val="23"/>
                <w:lang w:val="en-US"/>
              </w:rPr>
              <w:t>Subiecții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care </w:t>
            </w:r>
            <w:proofErr w:type="spellStart"/>
            <w:r>
              <w:rPr>
                <w:sz w:val="23"/>
                <w:szCs w:val="23"/>
                <w:lang w:val="en-US"/>
              </w:rPr>
              <w:t>desfășoară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activități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conform cap. 10³ din </w:t>
            </w:r>
            <w:proofErr w:type="spellStart"/>
            <w:r>
              <w:rPr>
                <w:sz w:val="23"/>
                <w:szCs w:val="23"/>
                <w:lang w:val="en-US"/>
              </w:rPr>
              <w:t>Titlul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II al </w:t>
            </w:r>
            <w:proofErr w:type="spellStart"/>
            <w:r>
              <w:rPr>
                <w:sz w:val="23"/>
                <w:szCs w:val="23"/>
                <w:lang w:val="en-US"/>
              </w:rPr>
              <w:t>Codului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Fiscal.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3"/>
                <w:szCs w:val="23"/>
                <w:lang w:val="en-US"/>
              </w:rPr>
              <w:t xml:space="preserve">6. </w:t>
            </w:r>
            <w:proofErr w:type="spellStart"/>
            <w:r>
              <w:rPr>
                <w:sz w:val="23"/>
                <w:szCs w:val="23"/>
                <w:lang w:val="en-US"/>
              </w:rPr>
              <w:t>Subiecții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impunerii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pentru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suprafața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dispozitivului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publicitar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care au </w:t>
            </w:r>
            <w:proofErr w:type="spellStart"/>
            <w:r>
              <w:rPr>
                <w:sz w:val="23"/>
                <w:szCs w:val="23"/>
                <w:lang w:val="en-US"/>
              </w:rPr>
              <w:t>fost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amplasate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imagini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cu </w:t>
            </w:r>
            <w:proofErr w:type="spellStart"/>
            <w:r>
              <w:rPr>
                <w:sz w:val="23"/>
                <w:szCs w:val="23"/>
                <w:lang w:val="en-US"/>
              </w:rPr>
              <w:t>campania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socială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de </w:t>
            </w:r>
            <w:proofErr w:type="spellStart"/>
            <w:r>
              <w:rPr>
                <w:sz w:val="23"/>
                <w:szCs w:val="23"/>
                <w:lang w:val="en-US"/>
              </w:rPr>
              <w:t>prevenire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COVID-19, </w:t>
            </w:r>
            <w:proofErr w:type="spellStart"/>
            <w:r>
              <w:rPr>
                <w:sz w:val="23"/>
                <w:szCs w:val="23"/>
                <w:lang w:val="en-US"/>
              </w:rPr>
              <w:t>coordonate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cu </w:t>
            </w:r>
            <w:proofErr w:type="spellStart"/>
            <w:r>
              <w:rPr>
                <w:sz w:val="23"/>
                <w:szCs w:val="23"/>
                <w:lang w:val="en-US"/>
              </w:rPr>
              <w:t>Primăria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Municipiului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Chișinău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și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Ministerul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Sănătății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Muncii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și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Protecției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Sociale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91CAD" w:rsidTr="00AC41E0">
        <w:trPr>
          <w:trHeight w:val="70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Nr. d/o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Baza impozabilă a obiectului impunerii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Cota taxei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Înlesnirile fiscale</w:t>
            </w:r>
          </w:p>
        </w:tc>
      </w:tr>
      <w:tr w:rsidR="00091CAD" w:rsidTr="00AC41E0">
        <w:trPr>
          <w:trHeight w:val="26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Taxă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pStyle w:val="Listparagraf"/>
              <w:tabs>
                <w:tab w:val="left" w:pos="0"/>
              </w:tabs>
              <w:spacing w:before="60"/>
              <w:ind w:left="0"/>
              <w:jc w:val="both"/>
              <w:rPr>
                <w:bCs/>
                <w:color w:val="000000"/>
                <w:lang w:val="ro-RO"/>
              </w:rPr>
            </w:pPr>
            <w:proofErr w:type="spellStart"/>
            <w:r>
              <w:rPr>
                <w:lang w:val="en-US" w:eastAsia="ro-RO"/>
              </w:rPr>
              <w:t>Numărul</w:t>
            </w:r>
            <w:proofErr w:type="spellEnd"/>
            <w:r>
              <w:rPr>
                <w:lang w:val="en-US" w:eastAsia="ro-RO"/>
              </w:rPr>
              <w:t xml:space="preserve"> de </w:t>
            </w:r>
            <w:proofErr w:type="spellStart"/>
            <w:r>
              <w:rPr>
                <w:lang w:val="en-US" w:eastAsia="ro-RO"/>
              </w:rPr>
              <w:t>persoane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fizice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înscrise</w:t>
            </w:r>
            <w:proofErr w:type="spellEnd"/>
            <w:r>
              <w:rPr>
                <w:lang w:val="en-US" w:eastAsia="ro-RO"/>
              </w:rPr>
              <w:t xml:space="preserve"> la </w:t>
            </w:r>
            <w:proofErr w:type="spellStart"/>
            <w:r>
              <w:rPr>
                <w:lang w:val="en-US" w:eastAsia="ro-RO"/>
              </w:rPr>
              <w:t>adresa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declarată</w:t>
            </w:r>
            <w:proofErr w:type="spellEnd"/>
            <w:r>
              <w:rPr>
                <w:lang w:val="en-US" w:eastAsia="ro-RO"/>
              </w:rPr>
              <w:t xml:space="preserve"> ca </w:t>
            </w:r>
            <w:proofErr w:type="spellStart"/>
            <w:r>
              <w:rPr>
                <w:lang w:val="en-US" w:eastAsia="ro-RO"/>
              </w:rPr>
              <w:t>domiciliu</w:t>
            </w:r>
            <w:proofErr w:type="spellEnd"/>
            <w:r>
              <w:rPr>
                <w:lang w:val="en-US" w:eastAsia="ro-RO"/>
              </w:rPr>
              <w:t xml:space="preserve">, </w:t>
            </w:r>
            <w:proofErr w:type="spellStart"/>
            <w:r>
              <w:rPr>
                <w:lang w:val="en-US" w:eastAsia="ro-RO"/>
              </w:rPr>
              <w:t>în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funcţie</w:t>
            </w:r>
            <w:proofErr w:type="spellEnd"/>
            <w:r>
              <w:rPr>
                <w:lang w:val="en-US" w:eastAsia="ro-RO"/>
              </w:rPr>
              <w:t xml:space="preserve"> de </w:t>
            </w:r>
            <w:proofErr w:type="spellStart"/>
            <w:r>
              <w:rPr>
                <w:lang w:val="en-US" w:eastAsia="ro-RO"/>
              </w:rPr>
              <w:t>apartament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şi</w:t>
            </w:r>
            <w:proofErr w:type="spellEnd"/>
            <w:r>
              <w:rPr>
                <w:lang w:val="en-US" w:eastAsia="ro-RO"/>
              </w:rPr>
              <w:t xml:space="preserve"> bloc </w:t>
            </w:r>
            <w:proofErr w:type="spellStart"/>
            <w:r>
              <w:rPr>
                <w:lang w:val="en-US" w:eastAsia="ro-RO"/>
              </w:rPr>
              <w:t>sau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casă</w:t>
            </w:r>
            <w:proofErr w:type="spellEnd"/>
            <w:r>
              <w:rPr>
                <w:lang w:val="en-US" w:eastAsia="ro-RO"/>
              </w:rPr>
              <w:t xml:space="preserve"> la sol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pStyle w:val="Listparagraf"/>
              <w:tabs>
                <w:tab w:val="left" w:pos="0"/>
              </w:tabs>
              <w:spacing w:before="60"/>
              <w:ind w:left="0"/>
              <w:jc w:val="both"/>
              <w:rPr>
                <w:bCs/>
                <w:color w:val="000000"/>
                <w:lang w:val="ro-RO"/>
              </w:rPr>
            </w:pPr>
            <w:r>
              <w:rPr>
                <w:lang w:val="en-US" w:eastAsia="ro-RO"/>
              </w:rPr>
              <w:t xml:space="preserve">10 lei lunar </w:t>
            </w:r>
            <w:proofErr w:type="spellStart"/>
            <w:r>
              <w:rPr>
                <w:lang w:val="en-US" w:eastAsia="ro-RO"/>
              </w:rPr>
              <w:t>pentru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fiecare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persoan</w:t>
            </w:r>
            <w:proofErr w:type="spellEnd"/>
            <w:r>
              <w:rPr>
                <w:lang w:val="ro-RO" w:eastAsia="ro-RO"/>
              </w:rPr>
              <w:t>ă</w:t>
            </w:r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fizic</w:t>
            </w:r>
            <w:proofErr w:type="spellEnd"/>
            <w:r>
              <w:rPr>
                <w:lang w:val="ro-RO" w:eastAsia="ro-RO"/>
              </w:rPr>
              <w:t>ă</w:t>
            </w:r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înscris</w:t>
            </w:r>
            <w:proofErr w:type="spellEnd"/>
            <w:r>
              <w:rPr>
                <w:lang w:val="ro-RO" w:eastAsia="ro-RO"/>
              </w:rPr>
              <w:t>ă</w:t>
            </w:r>
            <w:r>
              <w:rPr>
                <w:lang w:val="en-US" w:eastAsia="ro-RO"/>
              </w:rPr>
              <w:t xml:space="preserve"> la </w:t>
            </w:r>
            <w:proofErr w:type="spellStart"/>
            <w:r>
              <w:rPr>
                <w:lang w:val="en-US" w:eastAsia="ro-RO"/>
              </w:rPr>
              <w:t>adresa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declarată</w:t>
            </w:r>
            <w:proofErr w:type="spellEnd"/>
            <w:r>
              <w:rPr>
                <w:lang w:val="en-US" w:eastAsia="ro-RO"/>
              </w:rPr>
              <w:t xml:space="preserve"> ca </w:t>
            </w:r>
            <w:proofErr w:type="spellStart"/>
            <w:r>
              <w:rPr>
                <w:lang w:val="en-US" w:eastAsia="ro-RO"/>
              </w:rPr>
              <w:t>domiciliu</w:t>
            </w:r>
            <w:proofErr w:type="spellEnd"/>
            <w:r>
              <w:rPr>
                <w:lang w:val="en-US" w:eastAsia="ro-RO"/>
              </w:rPr>
              <w:t xml:space="preserve">, </w:t>
            </w:r>
            <w:proofErr w:type="spellStart"/>
            <w:r>
              <w:rPr>
                <w:lang w:val="en-US" w:eastAsia="ro-RO"/>
              </w:rPr>
              <w:t>în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funcţie</w:t>
            </w:r>
            <w:proofErr w:type="spellEnd"/>
            <w:r>
              <w:rPr>
                <w:lang w:val="en-US" w:eastAsia="ro-RO"/>
              </w:rPr>
              <w:t xml:space="preserve"> de </w:t>
            </w:r>
            <w:proofErr w:type="spellStart"/>
            <w:r>
              <w:rPr>
                <w:lang w:val="en-US" w:eastAsia="ro-RO"/>
              </w:rPr>
              <w:t>apartament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şi</w:t>
            </w:r>
            <w:proofErr w:type="spellEnd"/>
            <w:r>
              <w:rPr>
                <w:lang w:val="en-US" w:eastAsia="ro-RO"/>
              </w:rPr>
              <w:t xml:space="preserve"> bloc </w:t>
            </w:r>
            <w:proofErr w:type="spellStart"/>
            <w:r>
              <w:rPr>
                <w:lang w:val="en-US" w:eastAsia="ro-RO"/>
              </w:rPr>
              <w:t>sau</w:t>
            </w:r>
            <w:proofErr w:type="spellEnd"/>
            <w:r>
              <w:rPr>
                <w:lang w:val="en-US" w:eastAsia="ro-RO"/>
              </w:rPr>
              <w:t xml:space="preserve"> </w:t>
            </w:r>
            <w:proofErr w:type="spellStart"/>
            <w:r>
              <w:rPr>
                <w:lang w:val="en-US" w:eastAsia="ro-RO"/>
              </w:rPr>
              <w:t>casă</w:t>
            </w:r>
            <w:proofErr w:type="spellEnd"/>
            <w:r>
              <w:rPr>
                <w:lang w:val="en-US" w:eastAsia="ro-RO"/>
              </w:rPr>
              <w:t xml:space="preserve"> la sol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ro-RO"/>
              </w:rPr>
              <w:t>1. P</w:t>
            </w:r>
            <w:proofErr w:type="spellStart"/>
            <w:r>
              <w:rPr>
                <w:sz w:val="24"/>
                <w:szCs w:val="24"/>
              </w:rPr>
              <w:t>ersoanele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vârstă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pensionară</w:t>
            </w:r>
            <w:proofErr w:type="spellEnd"/>
            <w:r>
              <w:rPr>
                <w:sz w:val="24"/>
                <w:szCs w:val="24"/>
                <w:lang w:val="ro-RO"/>
              </w:rPr>
              <w:t>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>2. P</w:t>
            </w:r>
            <w:proofErr w:type="spellStart"/>
            <w:r>
              <w:rPr>
                <w:sz w:val="24"/>
                <w:szCs w:val="24"/>
              </w:rPr>
              <w:t>ersoanele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dizabilităţi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severe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accentuate</w:t>
            </w:r>
            <w:proofErr w:type="spellEnd"/>
            <w:proofErr w:type="gramEnd"/>
            <w:r>
              <w:rPr>
                <w:sz w:val="24"/>
                <w:szCs w:val="24"/>
                <w:lang w:val="ro-RO"/>
              </w:rPr>
              <w:t>.</w:t>
            </w:r>
          </w:p>
          <w:p w:rsidR="00091CAD" w:rsidRDefault="00091CAD" w:rsidP="00AC41E0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en-US"/>
              </w:rPr>
              <w:t>3. P</w:t>
            </w:r>
            <w:proofErr w:type="spellStart"/>
            <w:r>
              <w:rPr>
                <w:sz w:val="24"/>
                <w:szCs w:val="24"/>
              </w:rPr>
              <w:t>ersoanele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dizabilităţi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copilărie</w:t>
            </w:r>
            <w:proofErr w:type="spellEnd"/>
            <w:r>
              <w:rPr>
                <w:sz w:val="24"/>
                <w:szCs w:val="24"/>
                <w:lang w:val="ro-RO"/>
              </w:rPr>
              <w:t>.</w:t>
            </w:r>
          </w:p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P</w:t>
            </w:r>
            <w:proofErr w:type="spellStart"/>
            <w:r>
              <w:rPr>
                <w:sz w:val="24"/>
                <w:szCs w:val="24"/>
              </w:rPr>
              <w:t>ersoanele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dizabilităţi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participanţi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acţiunile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luptă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apărarea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integrităţii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teritoriale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independenţei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Moldova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participanţi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acţiunile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luptă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Afganistan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participanţi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lichidarea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consecinţelor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avariei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C.A.E. </w:t>
            </w:r>
            <w:proofErr w:type="spellStart"/>
            <w:r>
              <w:rPr>
                <w:sz w:val="24"/>
                <w:szCs w:val="24"/>
              </w:rPr>
              <w:t>Cernobîl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:rsidR="00091CAD" w:rsidRDefault="00091CAD" w:rsidP="00AC41E0">
            <w:pPr>
              <w:jc w:val="both"/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Copiii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vârsta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18 </w:t>
            </w:r>
            <w:proofErr w:type="spellStart"/>
            <w:r>
              <w:rPr>
                <w:sz w:val="24"/>
                <w:szCs w:val="24"/>
                <w:lang w:val="en-US"/>
              </w:rPr>
              <w:t>ani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091CAD" w:rsidRDefault="00091CAD" w:rsidP="00091CAD">
      <w:pPr>
        <w:jc w:val="both"/>
        <w:rPr>
          <w:sz w:val="28"/>
          <w:szCs w:val="28"/>
          <w:lang w:val="ro-RO"/>
        </w:rPr>
      </w:pPr>
    </w:p>
    <w:p w:rsidR="00091CAD" w:rsidRDefault="00091CAD" w:rsidP="00091CAD">
      <w:pPr>
        <w:jc w:val="both"/>
        <w:rPr>
          <w:sz w:val="28"/>
          <w:szCs w:val="28"/>
          <w:lang w:val="ro-RO"/>
        </w:rPr>
      </w:pPr>
    </w:p>
    <w:p w:rsidR="00091CAD" w:rsidRDefault="00091CAD" w:rsidP="00091CAD">
      <w:pPr>
        <w:jc w:val="both"/>
        <w:rPr>
          <w:sz w:val="28"/>
          <w:szCs w:val="28"/>
          <w:lang w:val="ro-RO"/>
        </w:rPr>
      </w:pPr>
    </w:p>
    <w:p w:rsidR="00091CAD" w:rsidRDefault="00091CAD" w:rsidP="00091CAD">
      <w:pPr>
        <w:jc w:val="both"/>
        <w:rPr>
          <w:sz w:val="28"/>
          <w:szCs w:val="28"/>
          <w:lang w:val="ro-RO"/>
        </w:rPr>
      </w:pPr>
    </w:p>
    <w:p w:rsidR="00D51692" w:rsidRPr="00091CAD" w:rsidRDefault="00091CAD" w:rsidP="00091CAD">
      <w:r>
        <w:rPr>
          <w:sz w:val="28"/>
          <w:szCs w:val="28"/>
          <w:lang w:val="ro-RO"/>
        </w:rPr>
        <w:t>SECRETAR INTERIMAR AL CONSILIULUI                                                                                             Adrian TALMACI</w:t>
      </w:r>
    </w:p>
    <w:sectPr w:rsidR="00D51692" w:rsidRPr="00091CAD" w:rsidSect="001A27B5">
      <w:pgSz w:w="16838" w:h="11906" w:orient="landscape"/>
      <w:pgMar w:top="709" w:right="1105" w:bottom="851" w:left="1134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D60"/>
    <w:multiLevelType w:val="hybridMultilevel"/>
    <w:tmpl w:val="BBAAD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EB7"/>
    <w:multiLevelType w:val="hybridMultilevel"/>
    <w:tmpl w:val="EDEAF2AC"/>
    <w:lvl w:ilvl="0" w:tplc="3514B8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1490"/>
    <w:multiLevelType w:val="multilevel"/>
    <w:tmpl w:val="9AAE6B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57D016AC"/>
    <w:multiLevelType w:val="hybridMultilevel"/>
    <w:tmpl w:val="D2CA2F50"/>
    <w:lvl w:ilvl="0" w:tplc="3514B8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E7A00E7"/>
    <w:multiLevelType w:val="hybridMultilevel"/>
    <w:tmpl w:val="2CA88AD2"/>
    <w:lvl w:ilvl="0" w:tplc="77E64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643F5"/>
    <w:multiLevelType w:val="hybridMultilevel"/>
    <w:tmpl w:val="5BECE4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characterSpacingControl w:val="doNotCompress"/>
  <w:compat/>
  <w:rsids>
    <w:rsidRoot w:val="00D51692"/>
    <w:rsid w:val="00027AE0"/>
    <w:rsid w:val="00040BD9"/>
    <w:rsid w:val="00067756"/>
    <w:rsid w:val="00091CAD"/>
    <w:rsid w:val="00131DA0"/>
    <w:rsid w:val="00163DE8"/>
    <w:rsid w:val="001A27B5"/>
    <w:rsid w:val="001C45A0"/>
    <w:rsid w:val="002279E5"/>
    <w:rsid w:val="002518C8"/>
    <w:rsid w:val="002E5925"/>
    <w:rsid w:val="003571F8"/>
    <w:rsid w:val="00411A24"/>
    <w:rsid w:val="004F132F"/>
    <w:rsid w:val="005E3985"/>
    <w:rsid w:val="00622FA0"/>
    <w:rsid w:val="00674E95"/>
    <w:rsid w:val="00692E39"/>
    <w:rsid w:val="006B4A2F"/>
    <w:rsid w:val="00764C11"/>
    <w:rsid w:val="00811878"/>
    <w:rsid w:val="00844D01"/>
    <w:rsid w:val="008E0A3A"/>
    <w:rsid w:val="00A3079E"/>
    <w:rsid w:val="00AA1542"/>
    <w:rsid w:val="00AD712C"/>
    <w:rsid w:val="00B91491"/>
    <w:rsid w:val="00C675BB"/>
    <w:rsid w:val="00CD5D2D"/>
    <w:rsid w:val="00D17BBF"/>
    <w:rsid w:val="00D51692"/>
    <w:rsid w:val="00D70075"/>
    <w:rsid w:val="00E13DAE"/>
    <w:rsid w:val="00E54C6B"/>
    <w:rsid w:val="00E70CC3"/>
    <w:rsid w:val="00E71CBB"/>
    <w:rsid w:val="00EA0382"/>
    <w:rsid w:val="00EC04F7"/>
    <w:rsid w:val="00F151AA"/>
    <w:rsid w:val="00F95849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7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6A0921"/>
    <w:pPr>
      <w:keepNext/>
      <w:outlineLvl w:val="0"/>
    </w:pPr>
    <w:rPr>
      <w:sz w:val="32"/>
      <w:lang w:val="en-US"/>
    </w:rPr>
  </w:style>
  <w:style w:type="paragraph" w:customStyle="1" w:styleId="Heading3">
    <w:name w:val="Heading 3"/>
    <w:basedOn w:val="a"/>
    <w:uiPriority w:val="99"/>
    <w:qFormat/>
    <w:rsid w:val="006A0921"/>
    <w:pPr>
      <w:keepNext/>
      <w:jc w:val="both"/>
      <w:outlineLvl w:val="2"/>
    </w:pPr>
    <w:rPr>
      <w:sz w:val="28"/>
      <w:lang w:val="ro-RO"/>
    </w:rPr>
  </w:style>
  <w:style w:type="character" w:customStyle="1" w:styleId="1">
    <w:name w:val="Заголовок 1 Знак"/>
    <w:basedOn w:val="a0"/>
    <w:link w:val="1"/>
    <w:uiPriority w:val="9"/>
    <w:qFormat/>
    <w:rsid w:val="006C6B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link w:val="3"/>
    <w:uiPriority w:val="9"/>
    <w:semiHidden/>
    <w:qFormat/>
    <w:rsid w:val="006C6B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semiHidden/>
    <w:qFormat/>
    <w:rsid w:val="006C6B63"/>
    <w:rPr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6C6B63"/>
    <w:rPr>
      <w:sz w:val="0"/>
      <w:szCs w:val="0"/>
    </w:rPr>
  </w:style>
  <w:style w:type="character" w:customStyle="1" w:styleId="LegturInternet">
    <w:name w:val="Legătură Internet"/>
    <w:basedOn w:val="a0"/>
    <w:uiPriority w:val="99"/>
    <w:rsid w:val="005B25BC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51692"/>
    <w:rPr>
      <w:rFonts w:cs="Times New Roman"/>
    </w:rPr>
  </w:style>
  <w:style w:type="character" w:customStyle="1" w:styleId="ListLabel2">
    <w:name w:val="ListLabel 2"/>
    <w:qFormat/>
    <w:rsid w:val="00D51692"/>
    <w:rPr>
      <w:rFonts w:cs="Times New Roman"/>
    </w:rPr>
  </w:style>
  <w:style w:type="character" w:customStyle="1" w:styleId="ListLabel3">
    <w:name w:val="ListLabel 3"/>
    <w:qFormat/>
    <w:rsid w:val="00D51692"/>
    <w:rPr>
      <w:rFonts w:cs="Times New Roman"/>
    </w:rPr>
  </w:style>
  <w:style w:type="character" w:customStyle="1" w:styleId="ListLabel4">
    <w:name w:val="ListLabel 4"/>
    <w:qFormat/>
    <w:rsid w:val="00D51692"/>
    <w:rPr>
      <w:rFonts w:cs="Times New Roman"/>
    </w:rPr>
  </w:style>
  <w:style w:type="character" w:customStyle="1" w:styleId="ListLabel5">
    <w:name w:val="ListLabel 5"/>
    <w:qFormat/>
    <w:rsid w:val="00D51692"/>
    <w:rPr>
      <w:rFonts w:cs="Times New Roman"/>
    </w:rPr>
  </w:style>
  <w:style w:type="character" w:customStyle="1" w:styleId="ListLabel6">
    <w:name w:val="ListLabel 6"/>
    <w:qFormat/>
    <w:rsid w:val="00D51692"/>
    <w:rPr>
      <w:rFonts w:cs="Times New Roman"/>
    </w:rPr>
  </w:style>
  <w:style w:type="character" w:customStyle="1" w:styleId="ListLabel7">
    <w:name w:val="ListLabel 7"/>
    <w:qFormat/>
    <w:rsid w:val="00D51692"/>
    <w:rPr>
      <w:rFonts w:cs="Times New Roman"/>
    </w:rPr>
  </w:style>
  <w:style w:type="character" w:customStyle="1" w:styleId="ListLabel8">
    <w:name w:val="ListLabel 8"/>
    <w:qFormat/>
    <w:rsid w:val="00D51692"/>
    <w:rPr>
      <w:rFonts w:cs="Times New Roman"/>
    </w:rPr>
  </w:style>
  <w:style w:type="character" w:customStyle="1" w:styleId="ListLabel9">
    <w:name w:val="ListLabel 9"/>
    <w:qFormat/>
    <w:rsid w:val="00D51692"/>
    <w:rPr>
      <w:rFonts w:cs="Times New Roman"/>
    </w:rPr>
  </w:style>
  <w:style w:type="character" w:customStyle="1" w:styleId="ListLabel10">
    <w:name w:val="ListLabel 10"/>
    <w:qFormat/>
    <w:rsid w:val="00D51692"/>
    <w:rPr>
      <w:rFonts w:cs="Times New Roman"/>
    </w:rPr>
  </w:style>
  <w:style w:type="character" w:customStyle="1" w:styleId="ListLabel11">
    <w:name w:val="ListLabel 11"/>
    <w:qFormat/>
    <w:rsid w:val="00D51692"/>
    <w:rPr>
      <w:rFonts w:cs="Times New Roman"/>
    </w:rPr>
  </w:style>
  <w:style w:type="character" w:customStyle="1" w:styleId="ListLabel12">
    <w:name w:val="ListLabel 12"/>
    <w:qFormat/>
    <w:rsid w:val="00D51692"/>
    <w:rPr>
      <w:rFonts w:cs="Times New Roman"/>
    </w:rPr>
  </w:style>
  <w:style w:type="character" w:customStyle="1" w:styleId="ListLabel13">
    <w:name w:val="ListLabel 13"/>
    <w:qFormat/>
    <w:rsid w:val="00D51692"/>
    <w:rPr>
      <w:rFonts w:cs="Times New Roman"/>
    </w:rPr>
  </w:style>
  <w:style w:type="character" w:customStyle="1" w:styleId="ListLabel14">
    <w:name w:val="ListLabel 14"/>
    <w:qFormat/>
    <w:rsid w:val="00D51692"/>
    <w:rPr>
      <w:rFonts w:cs="Times New Roman"/>
    </w:rPr>
  </w:style>
  <w:style w:type="character" w:customStyle="1" w:styleId="ListLabel15">
    <w:name w:val="ListLabel 15"/>
    <w:qFormat/>
    <w:rsid w:val="00D51692"/>
    <w:rPr>
      <w:rFonts w:cs="Times New Roman"/>
    </w:rPr>
  </w:style>
  <w:style w:type="character" w:customStyle="1" w:styleId="ListLabel16">
    <w:name w:val="ListLabel 16"/>
    <w:qFormat/>
    <w:rsid w:val="00D51692"/>
    <w:rPr>
      <w:rFonts w:eastAsia="Times New Roman"/>
    </w:rPr>
  </w:style>
  <w:style w:type="character" w:customStyle="1" w:styleId="ListLabel17">
    <w:name w:val="ListLabel 17"/>
    <w:qFormat/>
    <w:rsid w:val="00D51692"/>
    <w:rPr>
      <w:rFonts w:cs="Times New Roman"/>
    </w:rPr>
  </w:style>
  <w:style w:type="character" w:customStyle="1" w:styleId="ListLabel18">
    <w:name w:val="ListLabel 18"/>
    <w:qFormat/>
    <w:rsid w:val="00D51692"/>
    <w:rPr>
      <w:rFonts w:cs="Times New Roman"/>
    </w:rPr>
  </w:style>
  <w:style w:type="character" w:customStyle="1" w:styleId="ListLabel19">
    <w:name w:val="ListLabel 19"/>
    <w:qFormat/>
    <w:rsid w:val="00D51692"/>
    <w:rPr>
      <w:rFonts w:cs="Times New Roman"/>
    </w:rPr>
  </w:style>
  <w:style w:type="character" w:customStyle="1" w:styleId="ListLabel20">
    <w:name w:val="ListLabel 20"/>
    <w:qFormat/>
    <w:rsid w:val="00D51692"/>
    <w:rPr>
      <w:rFonts w:cs="Times New Roman"/>
    </w:rPr>
  </w:style>
  <w:style w:type="character" w:customStyle="1" w:styleId="ListLabel21">
    <w:name w:val="ListLabel 21"/>
    <w:qFormat/>
    <w:rsid w:val="00D51692"/>
    <w:rPr>
      <w:rFonts w:cs="Times New Roman"/>
    </w:rPr>
  </w:style>
  <w:style w:type="character" w:customStyle="1" w:styleId="ListLabel22">
    <w:name w:val="ListLabel 22"/>
    <w:qFormat/>
    <w:rsid w:val="00D51692"/>
    <w:rPr>
      <w:rFonts w:cs="Times New Roman"/>
    </w:rPr>
  </w:style>
  <w:style w:type="character" w:customStyle="1" w:styleId="ListLabel23">
    <w:name w:val="ListLabel 23"/>
    <w:qFormat/>
    <w:rsid w:val="00D51692"/>
    <w:rPr>
      <w:rFonts w:cs="Times New Roman"/>
    </w:rPr>
  </w:style>
  <w:style w:type="character" w:customStyle="1" w:styleId="ListLabel24">
    <w:name w:val="ListLabel 24"/>
    <w:qFormat/>
    <w:rsid w:val="00D51692"/>
    <w:rPr>
      <w:rFonts w:cs="Times New Roman"/>
    </w:rPr>
  </w:style>
  <w:style w:type="character" w:customStyle="1" w:styleId="ListLabel25">
    <w:name w:val="ListLabel 25"/>
    <w:qFormat/>
    <w:rsid w:val="00D51692"/>
    <w:rPr>
      <w:rFonts w:cs="Times New Roman"/>
    </w:rPr>
  </w:style>
  <w:style w:type="character" w:customStyle="1" w:styleId="ListLabel26">
    <w:name w:val="ListLabel 26"/>
    <w:qFormat/>
    <w:rsid w:val="00D51692"/>
    <w:rPr>
      <w:rFonts w:cs="Times New Roman"/>
    </w:rPr>
  </w:style>
  <w:style w:type="character" w:customStyle="1" w:styleId="ListLabel27">
    <w:name w:val="ListLabel 27"/>
    <w:qFormat/>
    <w:rsid w:val="00D51692"/>
    <w:rPr>
      <w:rFonts w:cs="Times New Roman"/>
    </w:rPr>
  </w:style>
  <w:style w:type="character" w:customStyle="1" w:styleId="ListLabel28">
    <w:name w:val="ListLabel 28"/>
    <w:qFormat/>
    <w:rsid w:val="00D51692"/>
    <w:rPr>
      <w:rFonts w:cs="Times New Roman"/>
    </w:rPr>
  </w:style>
  <w:style w:type="character" w:customStyle="1" w:styleId="ListLabel29">
    <w:name w:val="ListLabel 29"/>
    <w:qFormat/>
    <w:rsid w:val="00D51692"/>
    <w:rPr>
      <w:rFonts w:cs="Times New Roman"/>
    </w:rPr>
  </w:style>
  <w:style w:type="character" w:customStyle="1" w:styleId="ListLabel30">
    <w:name w:val="ListLabel 30"/>
    <w:qFormat/>
    <w:rsid w:val="00D51692"/>
    <w:rPr>
      <w:rFonts w:cs="Times New Roman"/>
    </w:rPr>
  </w:style>
  <w:style w:type="character" w:customStyle="1" w:styleId="ListLabel31">
    <w:name w:val="ListLabel 31"/>
    <w:qFormat/>
    <w:rsid w:val="00D51692"/>
    <w:rPr>
      <w:rFonts w:cs="Times New Roman"/>
    </w:rPr>
  </w:style>
  <w:style w:type="character" w:customStyle="1" w:styleId="ListLabel32">
    <w:name w:val="ListLabel 32"/>
    <w:qFormat/>
    <w:rsid w:val="00D51692"/>
    <w:rPr>
      <w:rFonts w:cs="Times New Roman"/>
    </w:rPr>
  </w:style>
  <w:style w:type="character" w:customStyle="1" w:styleId="ListLabel33">
    <w:name w:val="ListLabel 33"/>
    <w:qFormat/>
    <w:rsid w:val="00D51692"/>
    <w:rPr>
      <w:rFonts w:cs="Times New Roman"/>
    </w:rPr>
  </w:style>
  <w:style w:type="character" w:customStyle="1" w:styleId="ListLabel34">
    <w:name w:val="ListLabel 34"/>
    <w:qFormat/>
    <w:rsid w:val="00D51692"/>
    <w:rPr>
      <w:rFonts w:cs="Times New Roman"/>
    </w:rPr>
  </w:style>
  <w:style w:type="character" w:customStyle="1" w:styleId="ListLabel35">
    <w:name w:val="ListLabel 35"/>
    <w:qFormat/>
    <w:rsid w:val="00D51692"/>
    <w:rPr>
      <w:rFonts w:eastAsia="Times New Roman"/>
    </w:rPr>
  </w:style>
  <w:style w:type="paragraph" w:customStyle="1" w:styleId="Stiltitlu">
    <w:name w:val="Stil titlu"/>
    <w:basedOn w:val="a"/>
    <w:next w:val="a5"/>
    <w:qFormat/>
    <w:rsid w:val="00D5169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uiPriority w:val="99"/>
    <w:rsid w:val="00315475"/>
    <w:rPr>
      <w:sz w:val="28"/>
      <w:lang w:val="ro-RO"/>
    </w:rPr>
  </w:style>
  <w:style w:type="paragraph" w:styleId="a6">
    <w:name w:val="List"/>
    <w:basedOn w:val="a5"/>
    <w:rsid w:val="00D51692"/>
    <w:rPr>
      <w:rFonts w:cs="FreeSans"/>
    </w:rPr>
  </w:style>
  <w:style w:type="paragraph" w:customStyle="1" w:styleId="Caption">
    <w:name w:val="Caption"/>
    <w:basedOn w:val="a"/>
    <w:qFormat/>
    <w:rsid w:val="00D516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D51692"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qFormat/>
    <w:rsid w:val="006416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A376BF"/>
    <w:pPr>
      <w:ind w:firstLine="567"/>
      <w:jc w:val="both"/>
    </w:pPr>
    <w:rPr>
      <w:sz w:val="24"/>
      <w:szCs w:val="24"/>
    </w:rPr>
  </w:style>
  <w:style w:type="paragraph" w:customStyle="1" w:styleId="cb">
    <w:name w:val="cb"/>
    <w:basedOn w:val="a"/>
    <w:uiPriority w:val="99"/>
    <w:qFormat/>
    <w:rsid w:val="00A376BF"/>
    <w:pPr>
      <w:jc w:val="center"/>
    </w:pPr>
    <w:rPr>
      <w:b/>
      <w:bCs/>
      <w:sz w:val="24"/>
      <w:szCs w:val="24"/>
    </w:rPr>
  </w:style>
  <w:style w:type="paragraph" w:customStyle="1" w:styleId="lf">
    <w:name w:val="lf"/>
    <w:basedOn w:val="a"/>
    <w:qFormat/>
    <w:rsid w:val="0025722E"/>
    <w:rPr>
      <w:sz w:val="24"/>
      <w:szCs w:val="24"/>
      <w:lang w:val="ro-RO" w:eastAsia="ro-RO"/>
    </w:rPr>
  </w:style>
  <w:style w:type="table" w:styleId="a9">
    <w:name w:val="Table Grid"/>
    <w:basedOn w:val="a1"/>
    <w:uiPriority w:val="59"/>
    <w:rsid w:val="009F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3985"/>
    <w:pPr>
      <w:ind w:left="720"/>
      <w:contextualSpacing/>
    </w:pPr>
  </w:style>
  <w:style w:type="paragraph" w:customStyle="1" w:styleId="Listparagraf">
    <w:name w:val="Listă paragraf"/>
    <w:basedOn w:val="a"/>
    <w:qFormat/>
    <w:rsid w:val="00027AE0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26DFD-9023-445D-B5A0-56AB294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1757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INFORMAŢIA</vt:lpstr>
    </vt:vector>
  </TitlesOfParts>
  <Company>DERRP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INFORMAŢIA</dc:title>
  <dc:creator>DERRP</dc:creator>
  <cp:lastModifiedBy>mandreeva</cp:lastModifiedBy>
  <cp:revision>19</cp:revision>
  <cp:lastPrinted>2021-11-02T07:10:00Z</cp:lastPrinted>
  <dcterms:created xsi:type="dcterms:W3CDTF">2020-11-11T12:40:00Z</dcterms:created>
  <dcterms:modified xsi:type="dcterms:W3CDTF">2021-11-09T06:21:00Z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DERRP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